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9A42A" w14:textId="4D0B6B5E" w:rsidR="00B256D7" w:rsidRPr="00B256D7" w:rsidRDefault="00B256D7" w:rsidP="003900B7">
      <w:pPr>
        <w:jc w:val="both"/>
        <w:rPr>
          <w:rFonts w:cstheme="minorHAnsi"/>
          <w:b/>
          <w:bCs/>
          <w:color w:val="000000" w:themeColor="text1"/>
        </w:rPr>
      </w:pPr>
      <w:r>
        <w:rPr>
          <w:rFonts w:cstheme="minorHAnsi"/>
          <w:b/>
          <w:bCs/>
          <w:color w:val="000000" w:themeColor="text1"/>
        </w:rPr>
        <w:t xml:space="preserve">SUPP3 </w:t>
      </w:r>
      <w:r w:rsidRPr="00B256D7">
        <w:rPr>
          <w:rFonts w:cstheme="minorHAnsi"/>
          <w:b/>
          <w:bCs/>
          <w:color w:val="000000" w:themeColor="text1"/>
        </w:rPr>
        <w:t>Thermal history – methodological details</w:t>
      </w:r>
    </w:p>
    <w:p w14:paraId="14D9866F" w14:textId="77777777" w:rsidR="00B256D7" w:rsidRDefault="00B256D7" w:rsidP="003900B7">
      <w:pPr>
        <w:jc w:val="both"/>
        <w:rPr>
          <w:rFonts w:cstheme="minorHAnsi"/>
          <w:color w:val="000000" w:themeColor="text1"/>
        </w:rPr>
      </w:pPr>
    </w:p>
    <w:p w14:paraId="6D523131" w14:textId="3B22907D" w:rsidR="003900B7" w:rsidRPr="00CA4E04" w:rsidRDefault="003900B7" w:rsidP="003900B7">
      <w:pPr>
        <w:jc w:val="both"/>
        <w:rPr>
          <w:rFonts w:cstheme="minorHAnsi"/>
          <w:color w:val="000000" w:themeColor="text1"/>
        </w:rPr>
      </w:pPr>
      <w:r w:rsidRPr="00CA4E04">
        <w:rPr>
          <w:rFonts w:cstheme="minorHAnsi"/>
          <w:color w:val="000000" w:themeColor="text1"/>
        </w:rPr>
        <w:t>A key parameter of organic matter in claystones and associated</w:t>
      </w:r>
      <w:r w:rsidR="00C01DAD">
        <w:rPr>
          <w:rFonts w:cstheme="minorHAnsi"/>
          <w:color w:val="000000" w:themeColor="text1"/>
        </w:rPr>
        <w:t xml:space="preserve"> sedimentary rock</w:t>
      </w:r>
      <w:r w:rsidRPr="00CA4E04">
        <w:rPr>
          <w:rFonts w:cstheme="minorHAnsi"/>
          <w:color w:val="000000" w:themeColor="text1"/>
        </w:rPr>
        <w:t xml:space="preserve"> lithologies is </w:t>
      </w:r>
      <w:r w:rsidR="00C01DAD">
        <w:rPr>
          <w:rFonts w:cstheme="minorHAnsi"/>
          <w:color w:val="000000" w:themeColor="text1"/>
        </w:rPr>
        <w:t xml:space="preserve">vitrinite reflectance </w:t>
      </w:r>
      <w:r w:rsidR="00C01DAD" w:rsidRPr="00C01DAD">
        <w:rPr>
          <w:rFonts w:cstheme="minorHAnsi"/>
          <w:color w:val="000000" w:themeColor="text1"/>
        </w:rPr>
        <w:t>(VR</w:t>
      </w:r>
      <w:r w:rsidR="00C01DAD" w:rsidRPr="00622D0B">
        <w:rPr>
          <w:rFonts w:cstheme="minorHAnsi"/>
          <w:color w:val="000000" w:themeColor="text1"/>
          <w:vertAlign w:val="subscript"/>
        </w:rPr>
        <w:t>o</w:t>
      </w:r>
      <w:r w:rsidR="00C01DAD" w:rsidRPr="00C01DAD">
        <w:rPr>
          <w:rFonts w:cstheme="minorHAnsi"/>
          <w:color w:val="000000" w:themeColor="text1"/>
        </w:rPr>
        <w:t xml:space="preserve"> %) </w:t>
      </w:r>
      <w:r w:rsidR="00C01DAD">
        <w:rPr>
          <w:rFonts w:cstheme="minorHAnsi"/>
          <w:color w:val="000000" w:themeColor="text1"/>
        </w:rPr>
        <w:t xml:space="preserve">defined as </w:t>
      </w:r>
      <w:r w:rsidRPr="00CA4E04">
        <w:rPr>
          <w:rFonts w:cstheme="minorHAnsi"/>
          <w:color w:val="000000" w:themeColor="text1"/>
        </w:rPr>
        <w:t>the percentage of incident light (typically measured in</w:t>
      </w:r>
      <w:r w:rsidR="00C01DAD">
        <w:rPr>
          <w:rFonts w:cstheme="minorHAnsi"/>
          <w:color w:val="000000" w:themeColor="text1"/>
        </w:rPr>
        <w:t xml:space="preserve"> immersion</w:t>
      </w:r>
      <w:r w:rsidRPr="00CA4E04">
        <w:rPr>
          <w:rFonts w:cstheme="minorHAnsi"/>
          <w:color w:val="000000" w:themeColor="text1"/>
        </w:rPr>
        <w:t xml:space="preserve"> oil</w:t>
      </w:r>
      <w:r w:rsidR="00C01DAD">
        <w:rPr>
          <w:rFonts w:cstheme="minorHAnsi"/>
          <w:color w:val="000000" w:themeColor="text1"/>
        </w:rPr>
        <w:t xml:space="preserve"> at </w:t>
      </w:r>
      <w:r w:rsidR="00C01DAD" w:rsidRPr="00C01DAD">
        <w:rPr>
          <w:rFonts w:cstheme="minorHAnsi"/>
          <w:color w:val="000000" w:themeColor="text1"/>
        </w:rPr>
        <w:t xml:space="preserve">wavelength of </w:t>
      </w:r>
      <w:r w:rsidR="00C01DAD">
        <w:rPr>
          <w:rFonts w:cstheme="minorHAnsi"/>
          <w:color w:val="000000" w:themeColor="text1"/>
        </w:rPr>
        <w:t>546 nm</w:t>
      </w:r>
      <w:r w:rsidRPr="00CA4E04">
        <w:rPr>
          <w:rFonts w:cstheme="minorHAnsi"/>
          <w:color w:val="000000" w:themeColor="text1"/>
        </w:rPr>
        <w:t xml:space="preserve">) reflected from the surface of vitrinite macerals during </w:t>
      </w:r>
      <w:r w:rsidR="00C01DAD">
        <w:rPr>
          <w:rFonts w:cstheme="minorHAnsi"/>
          <w:color w:val="000000" w:themeColor="text1"/>
        </w:rPr>
        <w:t>microphotometric</w:t>
      </w:r>
      <w:r w:rsidR="00C01DAD" w:rsidRPr="00CA4E04">
        <w:rPr>
          <w:rFonts w:cstheme="minorHAnsi"/>
          <w:color w:val="000000" w:themeColor="text1"/>
        </w:rPr>
        <w:t xml:space="preserve"> </w:t>
      </w:r>
      <w:r w:rsidRPr="00CA4E04">
        <w:rPr>
          <w:rFonts w:cstheme="minorHAnsi"/>
          <w:color w:val="000000" w:themeColor="text1"/>
        </w:rPr>
        <w:t>analysis. The resulting vitrinite reflectance parameter (VR</w:t>
      </w:r>
      <w:r w:rsidRPr="00CA4E04">
        <w:rPr>
          <w:rFonts w:cstheme="minorHAnsi"/>
          <w:color w:val="000000" w:themeColor="text1"/>
          <w:vertAlign w:val="subscript"/>
        </w:rPr>
        <w:t>o</w:t>
      </w:r>
      <w:r w:rsidRPr="00CA4E04">
        <w:rPr>
          <w:rFonts w:cstheme="minorHAnsi"/>
          <w:color w:val="000000" w:themeColor="text1"/>
        </w:rPr>
        <w:t xml:space="preserve"> %) can be used as a </w:t>
      </w:r>
      <w:proofErr w:type="spellStart"/>
      <w:r w:rsidRPr="00CA4E04">
        <w:rPr>
          <w:rFonts w:cstheme="minorHAnsi"/>
          <w:color w:val="000000" w:themeColor="text1"/>
        </w:rPr>
        <w:t>paleogeothermometer</w:t>
      </w:r>
      <w:proofErr w:type="spellEnd"/>
      <w:r w:rsidRPr="00CA4E04">
        <w:rPr>
          <w:rFonts w:cstheme="minorHAnsi"/>
          <w:color w:val="000000" w:themeColor="text1"/>
        </w:rPr>
        <w:t xml:space="preserve">, thereby constraining the paleotemperature at a given location within a sedimentary basin (e.g., Barker and Elders, 1981; Price, 1983). </w:t>
      </w:r>
      <w:r w:rsidRPr="00CA4E04">
        <w:rPr>
          <w:color w:val="000000" w:themeColor="text1"/>
        </w:rPr>
        <w:t xml:space="preserve">Paleotemperatures are estimated from </w:t>
      </w:r>
      <w:r w:rsidRPr="00CA4E04">
        <w:rPr>
          <w:rFonts w:cstheme="minorHAnsi"/>
          <w:color w:val="000000" w:themeColor="text1"/>
        </w:rPr>
        <w:t>VR</w:t>
      </w:r>
      <w:r w:rsidRPr="00CA4E04">
        <w:rPr>
          <w:rFonts w:cstheme="minorHAnsi"/>
          <w:color w:val="000000" w:themeColor="text1"/>
          <w:vertAlign w:val="subscript"/>
        </w:rPr>
        <w:t>o</w:t>
      </w:r>
      <w:r w:rsidRPr="00CA4E04">
        <w:rPr>
          <w:rFonts w:cstheme="minorHAnsi"/>
          <w:color w:val="000000" w:themeColor="text1"/>
        </w:rPr>
        <w:t xml:space="preserve"> % based on empirical correlations. Since these empirical correlations </w:t>
      </w:r>
      <w:r w:rsidR="00C01DAD">
        <w:rPr>
          <w:rFonts w:cstheme="minorHAnsi"/>
          <w:color w:val="000000" w:themeColor="text1"/>
        </w:rPr>
        <w:t>are</w:t>
      </w:r>
      <w:r w:rsidR="00C01DAD" w:rsidRPr="00CA4E04">
        <w:rPr>
          <w:rFonts w:cstheme="minorHAnsi"/>
          <w:color w:val="000000" w:themeColor="text1"/>
        </w:rPr>
        <w:t xml:space="preserve"> </w:t>
      </w:r>
      <w:r w:rsidRPr="00CA4E04">
        <w:rPr>
          <w:rFonts w:cstheme="minorHAnsi"/>
          <w:color w:val="000000" w:themeColor="text1"/>
        </w:rPr>
        <w:t xml:space="preserve">derived for specific sedimentary basins with their own intrinsic geological conditions, such as burial history, subsidence rate, heat flow, and age, their applicability to other basins is not </w:t>
      </w:r>
      <w:r w:rsidR="00C01DAD">
        <w:rPr>
          <w:rFonts w:cstheme="minorHAnsi"/>
          <w:color w:val="000000" w:themeColor="text1"/>
        </w:rPr>
        <w:t xml:space="preserve">fully </w:t>
      </w:r>
      <w:r w:rsidRPr="00CA4E04">
        <w:rPr>
          <w:rFonts w:cstheme="minorHAnsi"/>
          <w:color w:val="000000" w:themeColor="text1"/>
        </w:rPr>
        <w:t>guaranteed (Gonçalves et al., 2024). Currently, the empirical correlation of Barker and Pawlewicz (1994</w:t>
      </w:r>
      <w:r w:rsidR="00C01DAD">
        <w:rPr>
          <w:rFonts w:cstheme="minorHAnsi"/>
          <w:color w:val="000000" w:themeColor="text1"/>
        </w:rPr>
        <w:t xml:space="preserve">) </w:t>
      </w:r>
      <w:proofErr w:type="gramStart"/>
      <w:r w:rsidR="00C01DAD">
        <w:rPr>
          <w:rFonts w:cstheme="minorHAnsi"/>
          <w:color w:val="000000" w:themeColor="text1"/>
        </w:rPr>
        <w:t>(</w:t>
      </w:r>
      <w:r w:rsidRPr="00CA4E04">
        <w:rPr>
          <w:rFonts w:cstheme="minorHAnsi"/>
          <w:color w:val="000000" w:themeColor="text1"/>
        </w:rPr>
        <w:t xml:space="preserve"> T</w:t>
      </w:r>
      <w:proofErr w:type="gramEnd"/>
      <w:r w:rsidRPr="00CA4E04">
        <w:rPr>
          <w:rFonts w:cstheme="minorHAnsi"/>
          <w:color w:val="000000" w:themeColor="text1"/>
        </w:rPr>
        <w:t xml:space="preserve">(°C) = [(ln VRo) + 1.68]/0.0124) is the most </w:t>
      </w:r>
      <w:r w:rsidR="00C01DAD">
        <w:rPr>
          <w:rFonts w:cstheme="minorHAnsi"/>
          <w:color w:val="000000" w:themeColor="text1"/>
        </w:rPr>
        <w:t xml:space="preserve">widely and </w:t>
      </w:r>
      <w:r w:rsidRPr="00CA4E04">
        <w:rPr>
          <w:rFonts w:cstheme="minorHAnsi"/>
          <w:color w:val="000000" w:themeColor="text1"/>
        </w:rPr>
        <w:t>frequently applied equation for deriving paleotemperature under slow heating conditions during sedimentary burial for a rock sample or formation</w:t>
      </w:r>
    </w:p>
    <w:p w14:paraId="05362562" w14:textId="5D284F20" w:rsidR="003900B7" w:rsidRPr="00CA4E04" w:rsidRDefault="003900B7" w:rsidP="003900B7">
      <w:pPr>
        <w:jc w:val="both"/>
        <w:rPr>
          <w:rFonts w:cstheme="minorHAnsi"/>
          <w:color w:val="000000" w:themeColor="text1"/>
        </w:rPr>
      </w:pPr>
      <w:r w:rsidRPr="00CA4E04">
        <w:rPr>
          <w:rFonts w:cstheme="minorHAnsi"/>
          <w:color w:val="000000" w:themeColor="text1"/>
        </w:rPr>
        <w:t>Another characteristic parameter of organic matter in claystones is its breakdown behavior during thermal maturation, resulting in smaller molecules of lower molecular weight and the release of carbon-containing gases. In general, the thermal breakdown behavior of each type of organic matter embedded in claystones, whether derived from plants, algae or microorganisms, has been well studied</w:t>
      </w:r>
      <w:r>
        <w:rPr>
          <w:rFonts w:cstheme="minorHAnsi"/>
          <w:color w:val="000000" w:themeColor="text1"/>
        </w:rPr>
        <w:t xml:space="preserve"> </w:t>
      </w:r>
      <w:r w:rsidR="000248EC">
        <w:rPr>
          <w:rFonts w:cstheme="minorHAnsi"/>
          <w:color w:val="000000" w:themeColor="text1"/>
        </w:rPr>
        <w:t>(</w:t>
      </w:r>
      <w:proofErr w:type="spellStart"/>
      <w:r w:rsidR="000248EC" w:rsidRPr="000248EC">
        <w:rPr>
          <w:rFonts w:cstheme="minorHAnsi"/>
          <w:color w:val="00B050"/>
        </w:rPr>
        <w:t>Abarghani</w:t>
      </w:r>
      <w:proofErr w:type="spellEnd"/>
      <w:r w:rsidR="000248EC" w:rsidRPr="000248EC">
        <w:rPr>
          <w:rFonts w:cstheme="minorHAnsi"/>
          <w:color w:val="00B050"/>
        </w:rPr>
        <w:t xml:space="preserve"> et al., 2020, Han et al., 2023, Lis et al., 2026</w:t>
      </w:r>
      <w:r w:rsidR="000248EC">
        <w:rPr>
          <w:rFonts w:cstheme="minorHAnsi"/>
          <w:color w:val="000000" w:themeColor="text1"/>
        </w:rPr>
        <w:t xml:space="preserve">). </w:t>
      </w:r>
      <w:r w:rsidRPr="00CA4E04">
        <w:rPr>
          <w:rFonts w:cstheme="minorHAnsi"/>
          <w:color w:val="000000" w:themeColor="text1"/>
        </w:rPr>
        <w:t xml:space="preserve">If </w:t>
      </w:r>
      <w:r w:rsidRPr="00CA4E04">
        <w:rPr>
          <w:rFonts w:cstheme="minorHAnsi"/>
          <w:color w:val="000000" w:themeColor="text1"/>
        </w:rPr>
        <w:t xml:space="preserve">the organic matter has already been exposed to elevated temperatures after sedimentation during burial, it will release less gas during subsequent heating, whether from high-level radioactive waste in a repository or in laboratory analyses, and the temperature required to generate the maximum </w:t>
      </w:r>
      <w:proofErr w:type="gramStart"/>
      <w:r w:rsidRPr="00CA4E04">
        <w:rPr>
          <w:rFonts w:cstheme="minorHAnsi"/>
          <w:color w:val="000000" w:themeColor="text1"/>
        </w:rPr>
        <w:t>amount</w:t>
      </w:r>
      <w:proofErr w:type="gramEnd"/>
      <w:r w:rsidRPr="00CA4E04">
        <w:rPr>
          <w:rFonts w:cstheme="minorHAnsi"/>
          <w:color w:val="000000" w:themeColor="text1"/>
        </w:rPr>
        <w:t xml:space="preserve"> of gases will be shifted to higher levels.</w:t>
      </w:r>
    </w:p>
    <w:p w14:paraId="0944C864" w14:textId="380DE57A" w:rsidR="003900B7" w:rsidRPr="00CA4E04" w:rsidRDefault="003900B7" w:rsidP="003900B7">
      <w:pPr>
        <w:jc w:val="both"/>
        <w:rPr>
          <w:rFonts w:cstheme="minorHAnsi"/>
          <w:color w:val="000000" w:themeColor="text1"/>
        </w:rPr>
      </w:pPr>
      <w:r w:rsidRPr="00CA4E04">
        <w:rPr>
          <w:rFonts w:cstheme="minorHAnsi"/>
          <w:color w:val="000000" w:themeColor="text1"/>
        </w:rPr>
        <w:t>Over the years, several methods and analytical instruments have been developed based on the principle of pyrolysis, the most widely used being the Rock-Eval method (</w:t>
      </w:r>
      <w:proofErr w:type="spellStart"/>
      <w:r w:rsidRPr="00CA4E04">
        <w:rPr>
          <w:rFonts w:cstheme="minorHAnsi"/>
          <w:color w:val="000000" w:themeColor="text1"/>
        </w:rPr>
        <w:t>Espitalie</w:t>
      </w:r>
      <w:proofErr w:type="spellEnd"/>
      <w:r w:rsidRPr="00CA4E04">
        <w:rPr>
          <w:rFonts w:cstheme="minorHAnsi"/>
          <w:color w:val="000000" w:themeColor="text1"/>
        </w:rPr>
        <w:t xml:space="preserve"> et al., 1977). In this method, a small amount of the pulverized sample is heated according to a programmed temperature ramp in a dry nitrogen gas stream, and the temperature at which the maximum release of hydrocarbon gases occurs is defined as the </w:t>
      </w:r>
      <w:bookmarkStart w:id="0" w:name="_Hlk223960739"/>
      <w:r w:rsidRPr="00CA4E04">
        <w:rPr>
          <w:rFonts w:cstheme="minorHAnsi"/>
          <w:color w:val="000000" w:themeColor="text1"/>
        </w:rPr>
        <w:t>T</w:t>
      </w:r>
      <w:r w:rsidRPr="00CA4E04">
        <w:rPr>
          <w:rFonts w:cstheme="minorHAnsi"/>
          <w:color w:val="000000" w:themeColor="text1"/>
          <w:vertAlign w:val="subscript"/>
        </w:rPr>
        <w:t>max</w:t>
      </w:r>
      <w:r w:rsidRPr="00CA4E04">
        <w:rPr>
          <w:rFonts w:cstheme="minorHAnsi"/>
          <w:color w:val="000000" w:themeColor="text1"/>
        </w:rPr>
        <w:t xml:space="preserve"> </w:t>
      </w:r>
      <w:bookmarkEnd w:id="0"/>
      <w:r w:rsidRPr="00CA4E04">
        <w:rPr>
          <w:rFonts w:cstheme="minorHAnsi"/>
          <w:color w:val="000000" w:themeColor="text1"/>
        </w:rPr>
        <w:t xml:space="preserve">value. This value typically falls between 400 and 600°C and must not be confused with the </w:t>
      </w:r>
      <w:proofErr w:type="spellStart"/>
      <w:r w:rsidRPr="00CA4E04">
        <w:rPr>
          <w:rFonts w:cstheme="minorHAnsi"/>
          <w:color w:val="000000" w:themeColor="text1"/>
        </w:rPr>
        <w:t>T</w:t>
      </w:r>
      <w:r w:rsidRPr="00CA4E04">
        <w:rPr>
          <w:rFonts w:cstheme="minorHAnsi"/>
          <w:color w:val="000000" w:themeColor="text1"/>
          <w:vertAlign w:val="subscript"/>
        </w:rPr>
        <w:t>maxgeo</w:t>
      </w:r>
      <w:proofErr w:type="spellEnd"/>
      <w:r w:rsidRPr="00CA4E04">
        <w:rPr>
          <w:rFonts w:cstheme="minorHAnsi"/>
          <w:color w:val="000000" w:themeColor="text1"/>
        </w:rPr>
        <w:t xml:space="preserve"> estimate. An estimate of </w:t>
      </w:r>
      <w:proofErr w:type="spellStart"/>
      <w:r w:rsidRPr="00CA4E04">
        <w:rPr>
          <w:rFonts w:cstheme="minorHAnsi"/>
          <w:color w:val="000000" w:themeColor="text1"/>
        </w:rPr>
        <w:t>T</w:t>
      </w:r>
      <w:r w:rsidRPr="00CA4E04">
        <w:rPr>
          <w:rFonts w:cstheme="minorHAnsi"/>
          <w:color w:val="000000" w:themeColor="text1"/>
          <w:vertAlign w:val="subscript"/>
        </w:rPr>
        <w:t>maxgeo</w:t>
      </w:r>
      <w:proofErr w:type="spellEnd"/>
      <w:r w:rsidRPr="00CA4E04">
        <w:rPr>
          <w:rFonts w:cstheme="minorHAnsi"/>
          <w:color w:val="000000" w:themeColor="text1"/>
          <w:vertAlign w:val="subscript"/>
        </w:rPr>
        <w:t xml:space="preserve"> </w:t>
      </w:r>
      <w:r w:rsidRPr="00CA4E04">
        <w:rPr>
          <w:rFonts w:cstheme="minorHAnsi"/>
          <w:color w:val="000000" w:themeColor="text1"/>
        </w:rPr>
        <w:t>can be derived from the measured T</w:t>
      </w:r>
      <w:r w:rsidRPr="00CA4E04">
        <w:rPr>
          <w:rFonts w:cstheme="minorHAnsi"/>
          <w:color w:val="000000" w:themeColor="text1"/>
          <w:vertAlign w:val="subscript"/>
        </w:rPr>
        <w:t>max</w:t>
      </w:r>
      <w:r w:rsidRPr="00CA4E04">
        <w:rPr>
          <w:rFonts w:cstheme="minorHAnsi"/>
          <w:color w:val="000000" w:themeColor="text1"/>
        </w:rPr>
        <w:t xml:space="preserve"> value by applying models that account for the differences in heating rates between natural burial conditions and laboratory pyrolysis. Most authors prefer to use measured T</w:t>
      </w:r>
      <w:r w:rsidRPr="00CA4E04">
        <w:rPr>
          <w:rFonts w:cstheme="minorHAnsi"/>
          <w:color w:val="000000" w:themeColor="text1"/>
          <w:vertAlign w:val="subscript"/>
        </w:rPr>
        <w:t>max</w:t>
      </w:r>
      <w:r w:rsidRPr="00CA4E04">
        <w:rPr>
          <w:rFonts w:cstheme="minorHAnsi"/>
          <w:color w:val="000000" w:themeColor="text1"/>
        </w:rPr>
        <w:t xml:space="preserve"> data to calculate an equivalent vitrinite reflectance value</w:t>
      </w:r>
      <w:r w:rsidR="00C01DAD">
        <w:rPr>
          <w:rFonts w:cstheme="minorHAnsi"/>
          <w:color w:val="000000" w:themeColor="text1"/>
        </w:rPr>
        <w:t xml:space="preserve"> </w:t>
      </w:r>
      <w:r w:rsidR="00C01DAD" w:rsidRPr="00CA4E04">
        <w:rPr>
          <w:rFonts w:cstheme="minorHAnsi"/>
          <w:color w:val="000000" w:themeColor="text1"/>
        </w:rPr>
        <w:t>(</w:t>
      </w:r>
      <w:proofErr w:type="spellStart"/>
      <w:r w:rsidR="00C01DAD" w:rsidRPr="00CA4E04">
        <w:rPr>
          <w:rFonts w:cstheme="minorHAnsi"/>
          <w:color w:val="000000" w:themeColor="text1"/>
        </w:rPr>
        <w:t>VR</w:t>
      </w:r>
      <w:r w:rsidR="00C01DAD">
        <w:rPr>
          <w:rFonts w:cstheme="minorHAnsi"/>
          <w:color w:val="000000" w:themeColor="text1"/>
          <w:vertAlign w:val="subscript"/>
        </w:rPr>
        <w:t>eq</w:t>
      </w:r>
      <w:proofErr w:type="spellEnd"/>
      <w:r w:rsidR="00C01DAD" w:rsidRPr="00CA4E04">
        <w:rPr>
          <w:rFonts w:cstheme="minorHAnsi"/>
          <w:color w:val="000000" w:themeColor="text1"/>
        </w:rPr>
        <w:t xml:space="preserve"> </w:t>
      </w:r>
      <w:proofErr w:type="gramStart"/>
      <w:r w:rsidR="00C01DAD" w:rsidRPr="00CA4E04">
        <w:rPr>
          <w:rFonts w:cstheme="minorHAnsi"/>
          <w:color w:val="000000" w:themeColor="text1"/>
        </w:rPr>
        <w:t xml:space="preserve">%) </w:t>
      </w:r>
      <w:r w:rsidRPr="00CA4E04">
        <w:rPr>
          <w:rFonts w:cstheme="minorHAnsi"/>
          <w:color w:val="000000" w:themeColor="text1"/>
        </w:rPr>
        <w:t xml:space="preserve"> (</w:t>
      </w:r>
      <w:proofErr w:type="gramEnd"/>
      <w:r w:rsidRPr="00CA4E04">
        <w:rPr>
          <w:rFonts w:cstheme="minorHAnsi"/>
          <w:color w:val="000000" w:themeColor="text1"/>
        </w:rPr>
        <w:t xml:space="preserve">e.g. Jarvie et al. 2001, Waliczek et al., 2021, review in </w:t>
      </w:r>
      <w:proofErr w:type="spellStart"/>
      <w:r w:rsidRPr="00CA4E04">
        <w:rPr>
          <w:rFonts w:cstheme="minorHAnsi"/>
          <w:color w:val="000000" w:themeColor="text1"/>
        </w:rPr>
        <w:t>Evenick</w:t>
      </w:r>
      <w:proofErr w:type="spellEnd"/>
      <w:r w:rsidRPr="00CA4E04">
        <w:rPr>
          <w:rFonts w:cstheme="minorHAnsi"/>
          <w:color w:val="000000" w:themeColor="text1"/>
        </w:rPr>
        <w:t xml:space="preserve">, 2021), which can then be used to </w:t>
      </w:r>
      <w:bookmarkStart w:id="1" w:name="_Hlk223960578"/>
      <w:r w:rsidRPr="00CA4E04">
        <w:rPr>
          <w:rFonts w:cstheme="minorHAnsi"/>
          <w:color w:val="000000" w:themeColor="text1"/>
        </w:rPr>
        <w:t xml:space="preserve">estimate the </w:t>
      </w:r>
      <w:bookmarkStart w:id="2" w:name="_Hlk223960698"/>
      <w:r w:rsidR="00C01DAD" w:rsidRPr="0096577D">
        <w:rPr>
          <w:rFonts w:cstheme="minorHAnsi"/>
          <w:color w:val="000000" w:themeColor="text1"/>
        </w:rPr>
        <w:t xml:space="preserve">maximum </w:t>
      </w:r>
      <w:r w:rsidR="00C01DAD" w:rsidRPr="00CA4E04">
        <w:rPr>
          <w:rFonts w:cstheme="minorHAnsi"/>
          <w:color w:val="000000" w:themeColor="text1"/>
        </w:rPr>
        <w:t xml:space="preserve">temperature of </w:t>
      </w:r>
      <w:proofErr w:type="spellStart"/>
      <w:r w:rsidR="00C01DAD">
        <w:rPr>
          <w:rFonts w:cstheme="minorHAnsi"/>
          <w:color w:val="000000" w:themeColor="text1"/>
        </w:rPr>
        <w:t>paleo</w:t>
      </w:r>
      <w:r w:rsidR="00C01DAD" w:rsidRPr="00CA4E04">
        <w:rPr>
          <w:rFonts w:cstheme="minorHAnsi"/>
          <w:color w:val="000000" w:themeColor="text1"/>
        </w:rPr>
        <w:t>burial</w:t>
      </w:r>
      <w:proofErr w:type="spellEnd"/>
      <w:r w:rsidR="00C01DAD" w:rsidRPr="00CA4E04">
        <w:rPr>
          <w:rFonts w:cstheme="minorHAnsi"/>
          <w:color w:val="000000" w:themeColor="text1"/>
        </w:rPr>
        <w:t xml:space="preserve"> heating</w:t>
      </w:r>
      <w:r w:rsidR="00C01DAD">
        <w:rPr>
          <w:rFonts w:cstheme="minorHAnsi"/>
          <w:color w:val="000000" w:themeColor="text1"/>
        </w:rPr>
        <w:t xml:space="preserve"> (</w:t>
      </w:r>
      <w:proofErr w:type="spellStart"/>
      <w:r w:rsidR="00C01DAD" w:rsidRPr="00CA4E04">
        <w:rPr>
          <w:rFonts w:cstheme="minorHAnsi"/>
          <w:color w:val="000000" w:themeColor="text1"/>
        </w:rPr>
        <w:t>T</w:t>
      </w:r>
      <w:r w:rsidR="00C01DAD" w:rsidRPr="00CA4E04">
        <w:rPr>
          <w:rFonts w:cstheme="minorHAnsi"/>
          <w:color w:val="000000" w:themeColor="text1"/>
          <w:vertAlign w:val="subscript"/>
        </w:rPr>
        <w:t>maxgeo</w:t>
      </w:r>
      <w:proofErr w:type="spellEnd"/>
      <w:r w:rsidR="00C01DAD">
        <w:rPr>
          <w:rFonts w:cstheme="minorHAnsi"/>
          <w:color w:val="000000" w:themeColor="text1"/>
        </w:rPr>
        <w:t>)</w:t>
      </w:r>
      <w:bookmarkEnd w:id="1"/>
      <w:bookmarkEnd w:id="2"/>
      <w:r w:rsidRPr="00CA4E04">
        <w:rPr>
          <w:rFonts w:cstheme="minorHAnsi"/>
          <w:color w:val="000000" w:themeColor="text1"/>
        </w:rPr>
        <w:t xml:space="preserve">. Alternatively, the classical Rock-Eval method may be modified to determine additional parameters (e.g. </w:t>
      </w:r>
      <w:proofErr w:type="spellStart"/>
      <w:r w:rsidRPr="00CA4E04">
        <w:rPr>
          <w:rFonts w:cstheme="minorHAnsi"/>
          <w:color w:val="000000" w:themeColor="text1"/>
        </w:rPr>
        <w:t>T</w:t>
      </w:r>
      <w:r w:rsidRPr="00CA4E04">
        <w:rPr>
          <w:rFonts w:cstheme="minorHAnsi"/>
          <w:color w:val="000000" w:themeColor="text1"/>
          <w:vertAlign w:val="subscript"/>
        </w:rPr>
        <w:t>min</w:t>
      </w:r>
      <w:proofErr w:type="spellEnd"/>
      <w:r w:rsidRPr="00CA4E04">
        <w:rPr>
          <w:rFonts w:cstheme="minorHAnsi"/>
          <w:color w:val="000000" w:themeColor="text1"/>
        </w:rPr>
        <w:t xml:space="preserve">, </w:t>
      </w:r>
      <w:proofErr w:type="spellStart"/>
      <w:r w:rsidRPr="00CA4E04">
        <w:rPr>
          <w:rFonts w:cstheme="minorHAnsi"/>
          <w:color w:val="000000" w:themeColor="text1"/>
        </w:rPr>
        <w:t>Disnar</w:t>
      </w:r>
      <w:proofErr w:type="spellEnd"/>
      <w:r w:rsidRPr="00CA4E04">
        <w:rPr>
          <w:rFonts w:cstheme="minorHAnsi"/>
          <w:color w:val="000000" w:themeColor="text1"/>
        </w:rPr>
        <w:t xml:space="preserve"> 1996) or results from </w:t>
      </w:r>
      <w:proofErr w:type="spellStart"/>
      <w:r w:rsidRPr="00CA4E04">
        <w:rPr>
          <w:rFonts w:cstheme="minorHAnsi"/>
          <w:color w:val="000000" w:themeColor="text1"/>
        </w:rPr>
        <w:t>pyrolyses</w:t>
      </w:r>
      <w:proofErr w:type="spellEnd"/>
      <w:r w:rsidRPr="00CA4E04">
        <w:rPr>
          <w:rFonts w:cstheme="minorHAnsi"/>
          <w:color w:val="000000" w:themeColor="text1"/>
        </w:rPr>
        <w:t xml:space="preserve"> at different heating rates may be combined (e.g. Schenk &amp; </w:t>
      </w:r>
      <w:proofErr w:type="spellStart"/>
      <w:r w:rsidRPr="00CA4E04">
        <w:rPr>
          <w:rFonts w:cstheme="minorHAnsi"/>
          <w:color w:val="000000" w:themeColor="text1"/>
        </w:rPr>
        <w:t>Diekmann</w:t>
      </w:r>
      <w:proofErr w:type="spellEnd"/>
      <w:r w:rsidRPr="00CA4E04">
        <w:rPr>
          <w:rFonts w:cstheme="minorHAnsi"/>
          <w:color w:val="000000" w:themeColor="text1"/>
        </w:rPr>
        <w:t>, 2004) to calculate kinetic parameters such as activation energy and frequency factor (cf. Burnham et al. 1987). These kinetic data can then be extrapolated into the geological past to reconstruction burial histories (cf. Jarvie</w:t>
      </w:r>
      <w:r w:rsidR="00C01DAD">
        <w:rPr>
          <w:rFonts w:cstheme="minorHAnsi"/>
          <w:color w:val="000000" w:themeColor="text1"/>
        </w:rPr>
        <w:t>,</w:t>
      </w:r>
      <w:r w:rsidRPr="00CA4E04">
        <w:rPr>
          <w:rFonts w:cstheme="minorHAnsi"/>
          <w:color w:val="000000" w:themeColor="text1"/>
        </w:rPr>
        <w:t xml:space="preserve"> 1991).</w:t>
      </w:r>
    </w:p>
    <w:p w14:paraId="69A8ABE5" w14:textId="77777777" w:rsidR="00FA4484" w:rsidRDefault="00FA4484"/>
    <w:sectPr w:rsidR="00FA448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0B7"/>
    <w:rsid w:val="000248EC"/>
    <w:rsid w:val="000D29C9"/>
    <w:rsid w:val="000E2A98"/>
    <w:rsid w:val="00251B3E"/>
    <w:rsid w:val="003900B7"/>
    <w:rsid w:val="00622D0B"/>
    <w:rsid w:val="008C4FE3"/>
    <w:rsid w:val="00901259"/>
    <w:rsid w:val="00B256D7"/>
    <w:rsid w:val="00B318BC"/>
    <w:rsid w:val="00C01DAD"/>
    <w:rsid w:val="00CD3546"/>
    <w:rsid w:val="00FA44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C470"/>
  <w15:chartTrackingRefBased/>
  <w15:docId w15:val="{778A3A7F-885A-4874-8FCB-B3026FABA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00B7"/>
    <w:rPr>
      <w:kern w:val="0"/>
      <w:lang w:val="en-US"/>
      <w14:ligatures w14:val="none"/>
    </w:rPr>
  </w:style>
  <w:style w:type="paragraph" w:styleId="berschrift1">
    <w:name w:val="heading 1"/>
    <w:basedOn w:val="Standard"/>
    <w:next w:val="Standard"/>
    <w:link w:val="berschrift1Zchn"/>
    <w:uiPriority w:val="9"/>
    <w:qFormat/>
    <w:rsid w:val="003900B7"/>
    <w:pPr>
      <w:keepNext/>
      <w:keepLines/>
      <w:spacing w:before="360" w:after="80"/>
      <w:outlineLvl w:val="0"/>
    </w:pPr>
    <w:rPr>
      <w:rFonts w:asciiTheme="majorHAnsi" w:eastAsiaTheme="majorEastAsia" w:hAnsiTheme="majorHAnsi" w:cstheme="majorBidi"/>
      <w:color w:val="2E74B5" w:themeColor="accent1" w:themeShade="BF"/>
      <w:kern w:val="2"/>
      <w:sz w:val="40"/>
      <w:szCs w:val="40"/>
      <w:lang w:val="de-DE"/>
      <w14:ligatures w14:val="standardContextual"/>
    </w:rPr>
  </w:style>
  <w:style w:type="paragraph" w:styleId="berschrift2">
    <w:name w:val="heading 2"/>
    <w:basedOn w:val="Standard"/>
    <w:next w:val="Standard"/>
    <w:link w:val="berschrift2Zchn"/>
    <w:uiPriority w:val="9"/>
    <w:semiHidden/>
    <w:unhideWhenUsed/>
    <w:qFormat/>
    <w:rsid w:val="003900B7"/>
    <w:pPr>
      <w:keepNext/>
      <w:keepLines/>
      <w:spacing w:before="160" w:after="80"/>
      <w:outlineLvl w:val="1"/>
    </w:pPr>
    <w:rPr>
      <w:rFonts w:asciiTheme="majorHAnsi" w:eastAsiaTheme="majorEastAsia" w:hAnsiTheme="majorHAnsi" w:cstheme="majorBidi"/>
      <w:color w:val="2E74B5" w:themeColor="accent1" w:themeShade="BF"/>
      <w:kern w:val="2"/>
      <w:sz w:val="32"/>
      <w:szCs w:val="32"/>
      <w:lang w:val="de-DE"/>
      <w14:ligatures w14:val="standardContextual"/>
    </w:rPr>
  </w:style>
  <w:style w:type="paragraph" w:styleId="berschrift3">
    <w:name w:val="heading 3"/>
    <w:basedOn w:val="Standard"/>
    <w:next w:val="Standard"/>
    <w:link w:val="berschrift3Zchn"/>
    <w:uiPriority w:val="9"/>
    <w:semiHidden/>
    <w:unhideWhenUsed/>
    <w:qFormat/>
    <w:rsid w:val="003900B7"/>
    <w:pPr>
      <w:keepNext/>
      <w:keepLines/>
      <w:spacing w:before="160" w:after="80"/>
      <w:outlineLvl w:val="2"/>
    </w:pPr>
    <w:rPr>
      <w:rFonts w:eastAsiaTheme="majorEastAsia" w:cstheme="majorBidi"/>
      <w:color w:val="2E74B5" w:themeColor="accent1" w:themeShade="BF"/>
      <w:kern w:val="2"/>
      <w:sz w:val="28"/>
      <w:szCs w:val="28"/>
      <w:lang w:val="de-DE"/>
      <w14:ligatures w14:val="standardContextual"/>
    </w:rPr>
  </w:style>
  <w:style w:type="paragraph" w:styleId="berschrift4">
    <w:name w:val="heading 4"/>
    <w:basedOn w:val="Standard"/>
    <w:next w:val="Standard"/>
    <w:link w:val="berschrift4Zchn"/>
    <w:uiPriority w:val="9"/>
    <w:semiHidden/>
    <w:unhideWhenUsed/>
    <w:qFormat/>
    <w:rsid w:val="003900B7"/>
    <w:pPr>
      <w:keepNext/>
      <w:keepLines/>
      <w:spacing w:before="80" w:after="40"/>
      <w:outlineLvl w:val="3"/>
    </w:pPr>
    <w:rPr>
      <w:rFonts w:eastAsiaTheme="majorEastAsia" w:cstheme="majorBidi"/>
      <w:i/>
      <w:iCs/>
      <w:color w:val="2E74B5" w:themeColor="accent1" w:themeShade="BF"/>
      <w:kern w:val="2"/>
      <w:lang w:val="de-DE"/>
      <w14:ligatures w14:val="standardContextual"/>
    </w:rPr>
  </w:style>
  <w:style w:type="paragraph" w:styleId="berschrift5">
    <w:name w:val="heading 5"/>
    <w:basedOn w:val="Standard"/>
    <w:next w:val="Standard"/>
    <w:link w:val="berschrift5Zchn"/>
    <w:uiPriority w:val="9"/>
    <w:semiHidden/>
    <w:unhideWhenUsed/>
    <w:qFormat/>
    <w:rsid w:val="003900B7"/>
    <w:pPr>
      <w:keepNext/>
      <w:keepLines/>
      <w:spacing w:before="80" w:after="40"/>
      <w:outlineLvl w:val="4"/>
    </w:pPr>
    <w:rPr>
      <w:rFonts w:eastAsiaTheme="majorEastAsia" w:cstheme="majorBidi"/>
      <w:color w:val="2E74B5" w:themeColor="accent1" w:themeShade="BF"/>
      <w:kern w:val="2"/>
      <w:lang w:val="de-DE"/>
      <w14:ligatures w14:val="standardContextual"/>
    </w:rPr>
  </w:style>
  <w:style w:type="paragraph" w:styleId="berschrift6">
    <w:name w:val="heading 6"/>
    <w:basedOn w:val="Standard"/>
    <w:next w:val="Standard"/>
    <w:link w:val="berschrift6Zchn"/>
    <w:uiPriority w:val="9"/>
    <w:semiHidden/>
    <w:unhideWhenUsed/>
    <w:qFormat/>
    <w:rsid w:val="003900B7"/>
    <w:pPr>
      <w:keepNext/>
      <w:keepLines/>
      <w:spacing w:before="40" w:after="0"/>
      <w:outlineLvl w:val="5"/>
    </w:pPr>
    <w:rPr>
      <w:rFonts w:eastAsiaTheme="majorEastAsia" w:cstheme="majorBidi"/>
      <w:i/>
      <w:iCs/>
      <w:color w:val="595959" w:themeColor="text1" w:themeTint="A6"/>
      <w:kern w:val="2"/>
      <w:lang w:val="de-DE"/>
      <w14:ligatures w14:val="standardContextual"/>
    </w:rPr>
  </w:style>
  <w:style w:type="paragraph" w:styleId="berschrift7">
    <w:name w:val="heading 7"/>
    <w:basedOn w:val="Standard"/>
    <w:next w:val="Standard"/>
    <w:link w:val="berschrift7Zchn"/>
    <w:uiPriority w:val="9"/>
    <w:semiHidden/>
    <w:unhideWhenUsed/>
    <w:qFormat/>
    <w:rsid w:val="003900B7"/>
    <w:pPr>
      <w:keepNext/>
      <w:keepLines/>
      <w:spacing w:before="40" w:after="0"/>
      <w:outlineLvl w:val="6"/>
    </w:pPr>
    <w:rPr>
      <w:rFonts w:eastAsiaTheme="majorEastAsia" w:cstheme="majorBidi"/>
      <w:color w:val="595959" w:themeColor="text1" w:themeTint="A6"/>
      <w:kern w:val="2"/>
      <w:lang w:val="de-DE"/>
      <w14:ligatures w14:val="standardContextual"/>
    </w:rPr>
  </w:style>
  <w:style w:type="paragraph" w:styleId="berschrift8">
    <w:name w:val="heading 8"/>
    <w:basedOn w:val="Standard"/>
    <w:next w:val="Standard"/>
    <w:link w:val="berschrift8Zchn"/>
    <w:uiPriority w:val="9"/>
    <w:semiHidden/>
    <w:unhideWhenUsed/>
    <w:qFormat/>
    <w:rsid w:val="003900B7"/>
    <w:pPr>
      <w:keepNext/>
      <w:keepLines/>
      <w:spacing w:after="0"/>
      <w:outlineLvl w:val="7"/>
    </w:pPr>
    <w:rPr>
      <w:rFonts w:eastAsiaTheme="majorEastAsia" w:cstheme="majorBidi"/>
      <w:i/>
      <w:iCs/>
      <w:color w:val="272727" w:themeColor="text1" w:themeTint="D8"/>
      <w:kern w:val="2"/>
      <w:lang w:val="de-DE"/>
      <w14:ligatures w14:val="standardContextual"/>
    </w:rPr>
  </w:style>
  <w:style w:type="paragraph" w:styleId="berschrift9">
    <w:name w:val="heading 9"/>
    <w:basedOn w:val="Standard"/>
    <w:next w:val="Standard"/>
    <w:link w:val="berschrift9Zchn"/>
    <w:uiPriority w:val="9"/>
    <w:semiHidden/>
    <w:unhideWhenUsed/>
    <w:qFormat/>
    <w:rsid w:val="003900B7"/>
    <w:pPr>
      <w:keepNext/>
      <w:keepLines/>
      <w:spacing w:after="0"/>
      <w:outlineLvl w:val="8"/>
    </w:pPr>
    <w:rPr>
      <w:rFonts w:eastAsiaTheme="majorEastAsia" w:cstheme="majorBidi"/>
      <w:color w:val="272727" w:themeColor="text1" w:themeTint="D8"/>
      <w:kern w:val="2"/>
      <w:lang w:val="de-DE"/>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900B7"/>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3900B7"/>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3900B7"/>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3900B7"/>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00B7"/>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3900B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900B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900B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900B7"/>
    <w:rPr>
      <w:rFonts w:eastAsiaTheme="majorEastAsia" w:cstheme="majorBidi"/>
      <w:color w:val="272727" w:themeColor="text1" w:themeTint="D8"/>
    </w:rPr>
  </w:style>
  <w:style w:type="paragraph" w:styleId="Titel">
    <w:name w:val="Title"/>
    <w:basedOn w:val="Standard"/>
    <w:next w:val="Standard"/>
    <w:link w:val="TitelZchn"/>
    <w:uiPriority w:val="10"/>
    <w:qFormat/>
    <w:rsid w:val="003900B7"/>
    <w:pPr>
      <w:spacing w:after="80" w:line="240" w:lineRule="auto"/>
      <w:contextualSpacing/>
    </w:pPr>
    <w:rPr>
      <w:rFonts w:asciiTheme="majorHAnsi" w:eastAsiaTheme="majorEastAsia" w:hAnsiTheme="majorHAnsi" w:cstheme="majorBidi"/>
      <w:spacing w:val="-10"/>
      <w:kern w:val="28"/>
      <w:sz w:val="56"/>
      <w:szCs w:val="56"/>
      <w:lang w:val="de-DE"/>
      <w14:ligatures w14:val="standardContextual"/>
    </w:rPr>
  </w:style>
  <w:style w:type="character" w:customStyle="1" w:styleId="TitelZchn">
    <w:name w:val="Titel Zchn"/>
    <w:basedOn w:val="Absatz-Standardschriftart"/>
    <w:link w:val="Titel"/>
    <w:uiPriority w:val="10"/>
    <w:rsid w:val="003900B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900B7"/>
    <w:pPr>
      <w:numPr>
        <w:ilvl w:val="1"/>
      </w:numPr>
    </w:pPr>
    <w:rPr>
      <w:rFonts w:eastAsiaTheme="majorEastAsia" w:cstheme="majorBidi"/>
      <w:color w:val="595959" w:themeColor="text1" w:themeTint="A6"/>
      <w:spacing w:val="15"/>
      <w:kern w:val="2"/>
      <w:sz w:val="28"/>
      <w:szCs w:val="28"/>
      <w:lang w:val="de-DE"/>
      <w14:ligatures w14:val="standardContextual"/>
    </w:rPr>
  </w:style>
  <w:style w:type="character" w:customStyle="1" w:styleId="UntertitelZchn">
    <w:name w:val="Untertitel Zchn"/>
    <w:basedOn w:val="Absatz-Standardschriftart"/>
    <w:link w:val="Untertitel"/>
    <w:uiPriority w:val="11"/>
    <w:rsid w:val="003900B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900B7"/>
    <w:pPr>
      <w:spacing w:before="160"/>
      <w:jc w:val="center"/>
    </w:pPr>
    <w:rPr>
      <w:i/>
      <w:iCs/>
      <w:color w:val="404040" w:themeColor="text1" w:themeTint="BF"/>
      <w:kern w:val="2"/>
      <w:lang w:val="de-DE"/>
      <w14:ligatures w14:val="standardContextual"/>
    </w:rPr>
  </w:style>
  <w:style w:type="character" w:customStyle="1" w:styleId="ZitatZchn">
    <w:name w:val="Zitat Zchn"/>
    <w:basedOn w:val="Absatz-Standardschriftart"/>
    <w:link w:val="Zitat"/>
    <w:uiPriority w:val="29"/>
    <w:rsid w:val="003900B7"/>
    <w:rPr>
      <w:i/>
      <w:iCs/>
      <w:color w:val="404040" w:themeColor="text1" w:themeTint="BF"/>
    </w:rPr>
  </w:style>
  <w:style w:type="paragraph" w:styleId="Listenabsatz">
    <w:name w:val="List Paragraph"/>
    <w:basedOn w:val="Standard"/>
    <w:uiPriority w:val="34"/>
    <w:qFormat/>
    <w:rsid w:val="003900B7"/>
    <w:pPr>
      <w:ind w:left="720"/>
      <w:contextualSpacing/>
    </w:pPr>
    <w:rPr>
      <w:kern w:val="2"/>
      <w:lang w:val="de-DE"/>
      <w14:ligatures w14:val="standardContextual"/>
    </w:rPr>
  </w:style>
  <w:style w:type="character" w:styleId="IntensiveHervorhebung">
    <w:name w:val="Intense Emphasis"/>
    <w:basedOn w:val="Absatz-Standardschriftart"/>
    <w:uiPriority w:val="21"/>
    <w:qFormat/>
    <w:rsid w:val="003900B7"/>
    <w:rPr>
      <w:i/>
      <w:iCs/>
      <w:color w:val="2E74B5" w:themeColor="accent1" w:themeShade="BF"/>
    </w:rPr>
  </w:style>
  <w:style w:type="paragraph" w:styleId="IntensivesZitat">
    <w:name w:val="Intense Quote"/>
    <w:basedOn w:val="Standard"/>
    <w:next w:val="Standard"/>
    <w:link w:val="IntensivesZitatZchn"/>
    <w:uiPriority w:val="30"/>
    <w:qFormat/>
    <w:rsid w:val="003900B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kern w:val="2"/>
      <w:lang w:val="de-DE"/>
      <w14:ligatures w14:val="standardContextual"/>
    </w:rPr>
  </w:style>
  <w:style w:type="character" w:customStyle="1" w:styleId="IntensivesZitatZchn">
    <w:name w:val="Intensives Zitat Zchn"/>
    <w:basedOn w:val="Absatz-Standardschriftart"/>
    <w:link w:val="IntensivesZitat"/>
    <w:uiPriority w:val="30"/>
    <w:rsid w:val="003900B7"/>
    <w:rPr>
      <w:i/>
      <w:iCs/>
      <w:color w:val="2E74B5" w:themeColor="accent1" w:themeShade="BF"/>
    </w:rPr>
  </w:style>
  <w:style w:type="character" w:styleId="IntensiverVerweis">
    <w:name w:val="Intense Reference"/>
    <w:basedOn w:val="Absatz-Standardschriftart"/>
    <w:uiPriority w:val="32"/>
    <w:qFormat/>
    <w:rsid w:val="003900B7"/>
    <w:rPr>
      <w:b/>
      <w:bCs/>
      <w:smallCaps/>
      <w:color w:val="2E74B5" w:themeColor="accent1" w:themeShade="BF"/>
      <w:spacing w:val="5"/>
    </w:rPr>
  </w:style>
  <w:style w:type="paragraph" w:styleId="berarbeitung">
    <w:name w:val="Revision"/>
    <w:hidden/>
    <w:uiPriority w:val="99"/>
    <w:semiHidden/>
    <w:rsid w:val="00C01DAD"/>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476</Words>
  <Characters>3002</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Geozentrum</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Kaufhold, Stephan</dc:creator>
  <cp:keywords/>
  <dc:description/>
  <cp:lastModifiedBy>Kaufhold, Stephan</cp:lastModifiedBy>
  <cp:revision>4</cp:revision>
  <dcterms:created xsi:type="dcterms:W3CDTF">2026-03-09T15:10:00Z</dcterms:created>
  <dcterms:modified xsi:type="dcterms:W3CDTF">2026-03-10T12:07:00Z</dcterms:modified>
</cp:coreProperties>
</file>